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2254" w14:textId="77777777" w:rsidR="00A365A9" w:rsidRDefault="00A365A9" w:rsidP="00A365A9">
      <w:pPr>
        <w:spacing w:after="160" w:line="256" w:lineRule="auto"/>
        <w:ind w:left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D69B30B" w14:textId="60110DED" w:rsidR="00A365A9" w:rsidRDefault="00A365A9" w:rsidP="00A365A9">
      <w:pPr>
        <w:spacing w:after="160" w:line="256" w:lineRule="auto"/>
        <w:ind w:left="0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И З В Е Ш Т А Ј</w:t>
      </w:r>
    </w:p>
    <w:p w14:paraId="2B065948" w14:textId="77777777" w:rsidR="00A365A9" w:rsidRPr="005B07A5" w:rsidRDefault="00A365A9" w:rsidP="00A365A9">
      <w:pPr>
        <w:keepNext/>
        <w:suppressAutoHyphens/>
        <w:ind w:left="0"/>
        <w:jc w:val="center"/>
        <w:outlineLvl w:val="6"/>
        <w:rPr>
          <w:rFonts w:ascii="Times New Roman" w:eastAsia="Times New Roman" w:hAnsi="Times New Roman"/>
          <w:spacing w:val="-2"/>
          <w:sz w:val="28"/>
          <w:szCs w:val="20"/>
          <w:lang w:val="sr-Cyrl-C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о резултатима спроведених јавних консултација о </w:t>
      </w:r>
      <w:bookmarkStart w:id="0" w:name="_Hlk58315989"/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Нацрт</w:t>
      </w:r>
      <w:r>
        <w:rPr>
          <w:rFonts w:ascii="Times New Roman" w:eastAsiaTheme="minorHAnsi" w:hAnsi="Times New Roman"/>
          <w:b/>
          <w:bCs/>
          <w:sz w:val="24"/>
          <w:szCs w:val="24"/>
          <w:lang w:val="sr-Cyrl-BA"/>
        </w:rPr>
        <w:t>у</w:t>
      </w:r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bookmarkEnd w:id="0"/>
      <w:r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правилника о изменама и допунама </w:t>
      </w:r>
      <w:r>
        <w:rPr>
          <w:rFonts w:ascii="Times New Roman" w:eastAsiaTheme="minorHAnsi" w:hAnsi="Times New Roman"/>
          <w:b/>
          <w:bCs/>
          <w:sz w:val="24"/>
          <w:szCs w:val="24"/>
          <w:lang w:val="sr-Cyrl-BA"/>
        </w:rPr>
        <w:t xml:space="preserve">Правилника </w:t>
      </w:r>
      <w:r w:rsidRPr="005B07A5">
        <w:rPr>
          <w:rFonts w:ascii="Times New Roman" w:eastAsia="Times New Roman" w:hAnsi="Times New Roman"/>
          <w:b/>
          <w:spacing w:val="-2"/>
          <w:sz w:val="24"/>
          <w:szCs w:val="24"/>
          <w:lang w:val="sr-Cyrl-CS"/>
        </w:rPr>
        <w:t xml:space="preserve">о </w:t>
      </w:r>
      <w:r w:rsidRPr="005B07A5">
        <w:rPr>
          <w:rFonts w:ascii="Times New Roman" w:eastAsia="Times New Roman" w:hAnsi="Times New Roman"/>
          <w:b/>
          <w:spacing w:val="-2"/>
          <w:sz w:val="24"/>
          <w:szCs w:val="24"/>
          <w:lang w:val="sr-Cyrl-RS"/>
        </w:rPr>
        <w:t xml:space="preserve">условима доделе и </w:t>
      </w:r>
      <w:r w:rsidRPr="005B07A5">
        <w:rPr>
          <w:rFonts w:ascii="Times New Roman" w:eastAsia="Times New Roman" w:hAnsi="Times New Roman"/>
          <w:b/>
          <w:spacing w:val="-2"/>
          <w:sz w:val="24"/>
          <w:szCs w:val="24"/>
          <w:lang w:val="sr-Cyrl-CS"/>
        </w:rPr>
        <w:t>коришћења радиофреквенцијског спектра</w:t>
      </w:r>
    </w:p>
    <w:p w14:paraId="2D9BE00C" w14:textId="77777777" w:rsidR="00A365A9" w:rsidRDefault="00A365A9" w:rsidP="00A365A9">
      <w:pPr>
        <w:spacing w:after="160" w:line="256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</w:p>
    <w:p w14:paraId="4FEEEB60" w14:textId="77777777" w:rsidR="00A365A9" w:rsidRDefault="00A365A9" w:rsidP="00A365A9">
      <w:pPr>
        <w:spacing w:before="160" w:after="160"/>
        <w:ind w:left="0" w:firstLine="720"/>
        <w:outlineLvl w:val="1"/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</w:pPr>
      <w:r>
        <w:rPr>
          <w:rFonts w:ascii="Times New Roman" w:hAnsi="Times New Roman"/>
          <w:sz w:val="24"/>
          <w:szCs w:val="24"/>
        </w:rPr>
        <w:t xml:space="preserve">На основу члана 37. Закона о електронским комуникацијама („Службени гласник РС”, број </w:t>
      </w:r>
      <w:r>
        <w:rPr>
          <w:rFonts w:ascii="Times New Roman" w:hAnsi="Times New Roman"/>
          <w:sz w:val="24"/>
          <w:szCs w:val="24"/>
          <w:lang w:val="sr-Cyrl-RS"/>
        </w:rPr>
        <w:t>35</w:t>
      </w:r>
      <w:r>
        <w:rPr>
          <w:rFonts w:ascii="Times New Roman" w:hAnsi="Times New Roman"/>
          <w:sz w:val="24"/>
          <w:szCs w:val="24"/>
        </w:rPr>
        <w:t>/23, у даљем тексту: Закон), Регулаторно тело за електронске комуникације и поштанске услуге (у даљем тексту: Регулатор) објављује Извештај о резултатима спроведених јавних консултација</w:t>
      </w:r>
      <w:r>
        <w:rPr>
          <w:rFonts w:ascii="Times New Roman" w:hAnsi="Times New Roman"/>
          <w:sz w:val="24"/>
          <w:szCs w:val="24"/>
          <w:lang w:val="sr-Cyrl-BA"/>
        </w:rPr>
        <w:t xml:space="preserve"> о </w:t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>Нацрт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у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п</w:t>
      </w:r>
      <w:r w:rsidRPr="009935A9">
        <w:rPr>
          <w:rFonts w:ascii="Times New Roman" w:eastAsiaTheme="minorHAnsi" w:hAnsi="Times New Roman"/>
          <w:sz w:val="24"/>
          <w:szCs w:val="24"/>
          <w:lang w:val="sr-Cyrl-RS"/>
        </w:rPr>
        <w:t xml:space="preserve">равилника о изменама и допунама </w:t>
      </w:r>
      <w:r>
        <w:rPr>
          <w:rFonts w:ascii="Times New Roman" w:eastAsiaTheme="minorHAnsi" w:hAnsi="Times New Roman"/>
          <w:sz w:val="24"/>
          <w:szCs w:val="24"/>
          <w:lang w:val="sr-Cyrl-BA"/>
        </w:rPr>
        <w:t>П</w:t>
      </w:r>
      <w:r w:rsidRPr="009935A9">
        <w:rPr>
          <w:rFonts w:ascii="Times New Roman" w:eastAsiaTheme="minorHAnsi" w:hAnsi="Times New Roman"/>
          <w:sz w:val="24"/>
          <w:szCs w:val="24"/>
          <w:lang w:val="sr-Cyrl-BA"/>
        </w:rPr>
        <w:t xml:space="preserve">равилника </w:t>
      </w:r>
      <w:r w:rsidRPr="009935A9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о </w:t>
      </w:r>
      <w:r w:rsidRPr="009935A9">
        <w:rPr>
          <w:rFonts w:ascii="Times New Roman" w:eastAsia="Times New Roman" w:hAnsi="Times New Roman"/>
          <w:spacing w:val="-2"/>
          <w:sz w:val="24"/>
          <w:szCs w:val="24"/>
          <w:lang w:val="sr-Cyrl-RS"/>
        </w:rPr>
        <w:t xml:space="preserve">условима доделе и </w:t>
      </w:r>
      <w:r w:rsidRPr="009935A9"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>коришћења радиофреквенцијског спектра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>(у даљем тексту</w:t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Нацрт </w:t>
      </w:r>
      <w:r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равилника о изменама и допунама Правилника</w:t>
      </w:r>
      <w:r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>).</w:t>
      </w:r>
    </w:p>
    <w:p w14:paraId="1BC89280" w14:textId="77777777" w:rsidR="00A365A9" w:rsidRDefault="00A365A9" w:rsidP="00A365A9">
      <w:pPr>
        <w:spacing w:before="160" w:after="160" w:line="259" w:lineRule="auto"/>
        <w:ind w:left="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Доношење Предлога правилника о изменама и допунама Правилника </w:t>
      </w:r>
      <w:r w:rsidRPr="009C62EC">
        <w:rPr>
          <w:rFonts w:ascii="Times New Roman" w:hAnsi="Times New Roman"/>
          <w:sz w:val="24"/>
          <w:szCs w:val="24"/>
          <w:lang w:val="sr-Cyrl-RS"/>
        </w:rPr>
        <w:t>о условима доделе и коришћења радиофреквенцијског спектра</w:t>
      </w:r>
      <w:r>
        <w:rPr>
          <w:rFonts w:ascii="Times New Roman" w:hAnsi="Times New Roman"/>
          <w:sz w:val="24"/>
          <w:szCs w:val="24"/>
          <w:lang w:val="sr-Cyrl-RS"/>
        </w:rPr>
        <w:t xml:space="preserve"> иницирано је потребом за </w:t>
      </w:r>
      <w:r w:rsidRPr="002146D8">
        <w:rPr>
          <w:rFonts w:ascii="Times New Roman" w:hAnsi="Times New Roman"/>
          <w:sz w:val="24"/>
          <w:szCs w:val="24"/>
          <w:lang w:val="sr-Cyrl-CS"/>
        </w:rPr>
        <w:t>уређивање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 образаца захтева за</w:t>
      </w:r>
      <w:r w:rsidRPr="002146D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издавање привремене</w:t>
      </w:r>
      <w:r w:rsidRPr="002146D8">
        <w:rPr>
          <w:rFonts w:ascii="Times New Roman" w:hAnsi="Times New Roman"/>
          <w:sz w:val="24"/>
          <w:szCs w:val="24"/>
          <w:lang w:val="sr-Cyrl-CS"/>
        </w:rPr>
        <w:t xml:space="preserve"> дозвол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2146D8">
        <w:rPr>
          <w:rFonts w:ascii="Times New Roman" w:hAnsi="Times New Roman"/>
          <w:sz w:val="24"/>
          <w:szCs w:val="24"/>
          <w:lang w:val="sr-Cyrl-CS"/>
        </w:rPr>
        <w:t xml:space="preserve"> за коришћење радиофреквенцијског спектра, за </w:t>
      </w:r>
      <w:r>
        <w:rPr>
          <w:rFonts w:ascii="Times New Roman" w:hAnsi="Times New Roman"/>
          <w:sz w:val="24"/>
          <w:szCs w:val="24"/>
          <w:lang w:val="sr-Cyrl-CS"/>
        </w:rPr>
        <w:t>различите врсте радио-станица, како за домаћа тако и за страна лица</w:t>
      </w:r>
      <w:r w:rsidRPr="002146D8">
        <w:rPr>
          <w:rFonts w:ascii="Times New Roman" w:hAnsi="Times New Roman"/>
          <w:sz w:val="24"/>
          <w:szCs w:val="24"/>
          <w:lang w:val="sr-Cyrl-CS"/>
        </w:rPr>
        <w:t xml:space="preserve">, као и </w:t>
      </w:r>
      <w:r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2146D8">
        <w:rPr>
          <w:rFonts w:ascii="Times New Roman" w:hAnsi="Times New Roman"/>
          <w:sz w:val="24"/>
          <w:szCs w:val="24"/>
          <w:lang w:val="sr-Cyrl-CS"/>
        </w:rPr>
        <w:t>исправк</w:t>
      </w:r>
      <w:r>
        <w:rPr>
          <w:rFonts w:ascii="Times New Roman" w:hAnsi="Times New Roman"/>
          <w:sz w:val="24"/>
          <w:szCs w:val="24"/>
          <w:lang w:val="sr-Cyrl-CS"/>
        </w:rPr>
        <w:t>ом</w:t>
      </w:r>
      <w:r w:rsidRPr="002146D8">
        <w:rPr>
          <w:rFonts w:ascii="Times New Roman" w:hAnsi="Times New Roman"/>
          <w:sz w:val="24"/>
          <w:szCs w:val="24"/>
          <w:lang w:val="sr-Cyrl-CS"/>
        </w:rPr>
        <w:t xml:space="preserve"> уочених недостатака у </w:t>
      </w:r>
      <w:r>
        <w:rPr>
          <w:rFonts w:ascii="Times New Roman" w:hAnsi="Times New Roman"/>
          <w:sz w:val="24"/>
          <w:szCs w:val="24"/>
          <w:lang w:val="sr-Cyrl-RS"/>
        </w:rPr>
        <w:t xml:space="preserve">Правилнику </w:t>
      </w:r>
      <w:r w:rsidRPr="009C62EC">
        <w:rPr>
          <w:rFonts w:ascii="Times New Roman" w:hAnsi="Times New Roman"/>
          <w:sz w:val="24"/>
          <w:szCs w:val="24"/>
          <w:lang w:val="sr-Cyrl-RS"/>
        </w:rPr>
        <w:t>о условима доделе и коришћења радиофреквенцијског спектра („Службени гласник РС“, број 91/24</w:t>
      </w:r>
      <w:r>
        <w:rPr>
          <w:rFonts w:ascii="Times New Roman" w:hAnsi="Times New Roman"/>
          <w:sz w:val="24"/>
          <w:szCs w:val="24"/>
          <w:lang w:val="sr-Cyrl-RS"/>
        </w:rPr>
        <w:t>, у даљем тексту: Правилник)</w:t>
      </w:r>
      <w:r w:rsidRPr="002146D8">
        <w:rPr>
          <w:rFonts w:ascii="Times New Roman" w:hAnsi="Times New Roman"/>
          <w:sz w:val="24"/>
          <w:szCs w:val="24"/>
          <w:lang w:val="sr-Cyrl-CS"/>
        </w:rPr>
        <w:t>.</w:t>
      </w:r>
    </w:p>
    <w:p w14:paraId="78A8FD0E" w14:textId="77777777" w:rsidR="00A365A9" w:rsidRPr="005B17E5" w:rsidRDefault="00A365A9" w:rsidP="00A365A9">
      <w:pPr>
        <w:spacing w:before="160" w:after="160"/>
        <w:ind w:left="0" w:firstLine="720"/>
        <w:outlineLvl w:val="1"/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</w:pP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У складу са чл. 36. и 37. Закона, Регулатор је спровео јавне консултације о 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Нацрт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у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равилника о изменама и допунама Правилника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у периоду </w:t>
      </w:r>
      <w:bookmarkStart w:id="1" w:name="_Hlk144460048"/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од </w:t>
      </w:r>
      <w:bookmarkEnd w:id="1"/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16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.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јуна 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202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5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. 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 xml:space="preserve">до 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1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5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.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јула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202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5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. године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>,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како би све заинтересоване стране биле благовремено и правилно информисане о предложеним решењима, чиме би им се омогућило да дају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и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свој допринос даљем унапређењу предложених решења. </w:t>
      </w:r>
    </w:p>
    <w:p w14:paraId="06010A02" w14:textId="77777777" w:rsidR="00A365A9" w:rsidRPr="005B17E5" w:rsidRDefault="00A365A9" w:rsidP="00A365A9">
      <w:pPr>
        <w:spacing w:before="160" w:after="160"/>
        <w:ind w:left="0" w:firstLine="720"/>
        <w:outlineLvl w:val="1"/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</w:pP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Текст 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>Нацрт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а </w:t>
      </w:r>
      <w:r>
        <w:rPr>
          <w:rFonts w:ascii="Times New Roman" w:eastAsia="Times New Roman" w:hAnsi="Times New Roman"/>
          <w:bCs/>
          <w:sz w:val="24"/>
          <w:szCs w:val="24"/>
          <w:lang w:val="sr-Cyrl-BA" w:eastAsia="en-GB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равилника о изменама и допунама Правилника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објављен је на званичној веб презентацији Регулатора</w:t>
      </w:r>
      <w:r w:rsidRPr="005B17E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(</w:t>
      </w:r>
      <w:hyperlink r:id="rId8" w:history="1">
        <w:r w:rsidRPr="005B17E5">
          <w:rPr>
            <w:rStyle w:val="Hyperlink"/>
            <w:rFonts w:ascii="Times New Roman" w:hAnsi="Times New Roman"/>
            <w:sz w:val="24"/>
            <w:szCs w:val="24"/>
          </w:rPr>
          <w:t>https://www.ratel.rs/cyr/blog-posts-view-all/javne-konsultacije-o-nacrtu-pravilnika-o-izmenama-i-dopunama-pravilnika-o-uslovima-dodele-i-koriscenja-radiofrekvencijskog-spektra</w:t>
        </w:r>
      </w:hyperlink>
      <w:r w:rsidRPr="005B17E5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), као и на порталу Е-консултације, а сва заинтересована лица била су у могућности да своја мишљења о предмету јавне консултације доставе у писаном или електронском облику.</w:t>
      </w:r>
    </w:p>
    <w:p w14:paraId="70E9B562" w14:textId="77777777" w:rsidR="00A365A9" w:rsidRPr="004337B6" w:rsidRDefault="00A365A9" w:rsidP="00A365A9">
      <w:pPr>
        <w:spacing w:before="160" w:after="160" w:line="278" w:lineRule="auto"/>
        <w:ind w:left="0" w:firstLine="720"/>
        <w:rPr>
          <w:rFonts w:ascii="Times New Roman" w:eastAsia="Times New Roman" w:hAnsi="Times New Roman"/>
          <w:kern w:val="2"/>
          <w:lang w:val="sr-Cyrl-RS"/>
        </w:rPr>
      </w:pPr>
      <w:r w:rsidRPr="004337B6">
        <w:rPr>
          <w:rFonts w:ascii="Times New Roman" w:eastAsia="Aptos" w:hAnsi="Times New Roman"/>
          <w:kern w:val="2"/>
          <w:sz w:val="24"/>
          <w:szCs w:val="24"/>
          <w:lang w:val="sr-Cyrl-RS"/>
        </w:rPr>
        <w:t xml:space="preserve">Као резултат спроведених јавних консултација, Регулатору су доставили мишљења </w:t>
      </w:r>
      <w:r w:rsidRPr="004337B6">
        <w:rPr>
          <w:rFonts w:ascii="Times New Roman" w:hAnsi="Times New Roman"/>
          <w:sz w:val="24"/>
          <w:szCs w:val="24"/>
          <w:lang w:val="sr-Cyrl-RS"/>
        </w:rPr>
        <w:t xml:space="preserve">Предузеће за телекомуникације </w:t>
      </w:r>
      <w:r w:rsidRPr="004337B6">
        <w:rPr>
          <w:rFonts w:ascii="Times New Roman" w:eastAsia="Lucida Sans Unicode" w:hAnsi="Times New Roman"/>
          <w:sz w:val="24"/>
          <w:szCs w:val="24"/>
          <w:lang w:val="sr-Cyrl-CS" w:bidi="en-US"/>
        </w:rPr>
        <w:t>Телеком Србија акционарско друштво</w:t>
      </w:r>
      <w:r>
        <w:rPr>
          <w:rFonts w:ascii="Times New Roman" w:eastAsia="Lucida Sans Unicode" w:hAnsi="Times New Roman"/>
          <w:sz w:val="24"/>
          <w:szCs w:val="24"/>
          <w:lang w:val="sr-Cyrl-CS" w:bidi="en-US"/>
        </w:rPr>
        <w:t>, Београд</w:t>
      </w:r>
      <w:r w:rsidRPr="004337B6">
        <w:rPr>
          <w:rFonts w:ascii="Times New Roman" w:eastAsia="Lucida Sans Unicode" w:hAnsi="Times New Roman"/>
          <w:sz w:val="24"/>
          <w:szCs w:val="24"/>
          <w:lang w:val="sr-Latn-RS" w:bidi="en-US"/>
        </w:rPr>
        <w:t xml:space="preserve"> (</w:t>
      </w:r>
      <w:r w:rsidRPr="004337B6">
        <w:rPr>
          <w:rFonts w:ascii="Times New Roman" w:eastAsia="Lucida Sans Unicode" w:hAnsi="Times New Roman"/>
          <w:sz w:val="24"/>
          <w:szCs w:val="24"/>
          <w:lang w:val="sr-Cyrl-RS" w:bidi="en-US"/>
        </w:rPr>
        <w:t>у даљем тексту: Телеком Србија а.д.)</w:t>
      </w:r>
      <w:r>
        <w:rPr>
          <w:rFonts w:ascii="Times New Roman" w:eastAsia="Lucida Sans Unicode" w:hAnsi="Times New Roman"/>
          <w:sz w:val="24"/>
          <w:szCs w:val="24"/>
          <w:lang w:val="sr-Latn-RS" w:bidi="en-US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val="sr-Cyrl-RS" w:bidi="en-US"/>
        </w:rPr>
        <w:t>и</w:t>
      </w:r>
      <w:r w:rsidRPr="004337B6">
        <w:rPr>
          <w:rFonts w:ascii="Times New Roman" w:eastAsia="Times New Roman" w:hAnsi="Times New Roman"/>
          <w:kern w:val="2"/>
          <w:sz w:val="24"/>
          <w:szCs w:val="24"/>
          <w:lang w:val="sr-Latn-RS"/>
        </w:rPr>
        <w:t xml:space="preserve"> </w:t>
      </w:r>
      <w:r w:rsidRPr="006E5B86">
        <w:rPr>
          <w:rFonts w:ascii="Times New Roman" w:eastAsia="Times New Roman" w:hAnsi="Times New Roman"/>
          <w:kern w:val="2"/>
          <w:sz w:val="24"/>
          <w:szCs w:val="24"/>
          <w:lang w:val="sr-Latn-RS"/>
        </w:rPr>
        <w:t>CETIN d.o.o. Beograd-Novi Beograd</w:t>
      </w:r>
      <w:r>
        <w:rPr>
          <w:rFonts w:ascii="Times New Roman" w:eastAsia="Times New Roman" w:hAnsi="Times New Roman"/>
          <w:kern w:val="2"/>
          <w:sz w:val="24"/>
          <w:szCs w:val="24"/>
          <w:lang w:val="sr-Cyrl-RS"/>
        </w:rPr>
        <w:t xml:space="preserve"> (</w:t>
      </w:r>
      <w:r w:rsidRPr="004337B6">
        <w:rPr>
          <w:rFonts w:ascii="Times New Roman" w:eastAsia="Lucida Sans Unicode" w:hAnsi="Times New Roman"/>
          <w:sz w:val="24"/>
          <w:szCs w:val="24"/>
          <w:lang w:val="sr-Cyrl-RS" w:bidi="en-US"/>
        </w:rPr>
        <w:t xml:space="preserve">у даљем тексту: </w:t>
      </w:r>
      <w:r>
        <w:rPr>
          <w:rFonts w:ascii="Times New Roman" w:eastAsia="Times New Roman" w:hAnsi="Times New Roman"/>
          <w:kern w:val="2"/>
          <w:sz w:val="24"/>
          <w:szCs w:val="24"/>
          <w:lang w:val="sr-Latn-RS"/>
        </w:rPr>
        <w:t>C</w:t>
      </w:r>
      <w:r w:rsidRPr="004337B6">
        <w:rPr>
          <w:rFonts w:ascii="Times New Roman" w:eastAsia="Times New Roman" w:hAnsi="Times New Roman"/>
          <w:kern w:val="2"/>
          <w:sz w:val="24"/>
          <w:szCs w:val="24"/>
        </w:rPr>
        <w:t>ETIN d.o.o.</w:t>
      </w:r>
      <w:r>
        <w:rPr>
          <w:rFonts w:ascii="Times New Roman" w:eastAsia="Times New Roman" w:hAnsi="Times New Roman"/>
          <w:kern w:val="2"/>
          <w:sz w:val="24"/>
          <w:szCs w:val="24"/>
          <w:lang w:val="sr-Cyrl-RS"/>
        </w:rPr>
        <w:t>).</w:t>
      </w:r>
      <w:r w:rsidRPr="004337B6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14:paraId="50E05574" w14:textId="77777777" w:rsidR="00A365A9" w:rsidRDefault="00A365A9" w:rsidP="00A365A9">
      <w:pPr>
        <w:spacing w:before="160" w:after="160"/>
        <w:ind w:left="0" w:firstLine="720"/>
        <w:rPr>
          <w:rFonts w:ascii="Times New Roman" w:eastAsia="Times New Roman" w:hAnsi="Times New Roman"/>
          <w:bCs/>
          <w:kern w:val="2"/>
          <w:sz w:val="24"/>
          <w:szCs w:val="24"/>
          <w:lang w:val="sr-Cyrl-BA" w:eastAsia="en-GB"/>
        </w:rPr>
      </w:pPr>
      <w:r w:rsidRPr="004337B6">
        <w:rPr>
          <w:rFonts w:ascii="Times New Roman" w:eastAsia="Times New Roman" w:hAnsi="Times New Roman"/>
          <w:bCs/>
          <w:kern w:val="2"/>
          <w:sz w:val="24"/>
          <w:szCs w:val="24"/>
          <w:lang w:val="sr-Cyrl-RS" w:eastAsia="en-GB"/>
        </w:rPr>
        <w:t>У наставку</w:t>
      </w:r>
      <w:r w:rsidRPr="004337B6">
        <w:rPr>
          <w:rFonts w:ascii="Times New Roman" w:eastAsia="Times New Roman" w:hAnsi="Times New Roman"/>
          <w:bCs/>
          <w:kern w:val="2"/>
          <w:sz w:val="24"/>
          <w:szCs w:val="24"/>
          <w:lang w:val="sr-Latn-RS" w:eastAsia="en-GB"/>
        </w:rPr>
        <w:t>,</w:t>
      </w:r>
      <w:r w:rsidRPr="004337B6">
        <w:rPr>
          <w:rFonts w:ascii="Times New Roman" w:eastAsia="Times New Roman" w:hAnsi="Times New Roman"/>
          <w:bCs/>
          <w:kern w:val="2"/>
          <w:sz w:val="24"/>
          <w:szCs w:val="24"/>
          <w:lang w:val="sr-Cyrl-RS" w:eastAsia="en-GB"/>
        </w:rPr>
        <w:t xml:space="preserve"> Регулатор даје одговоре на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val="sr-Cyrl-RS" w:eastAsia="en-GB"/>
        </w:rPr>
        <w:t>достављена</w:t>
      </w:r>
      <w:r w:rsidRPr="004337B6">
        <w:rPr>
          <w:rFonts w:ascii="Times New Roman" w:eastAsia="Times New Roman" w:hAnsi="Times New Roman"/>
          <w:bCs/>
          <w:kern w:val="2"/>
          <w:sz w:val="24"/>
          <w:szCs w:val="24"/>
          <w:lang w:val="sr-Cyrl-RS" w:eastAsia="en-GB"/>
        </w:rPr>
        <w:t xml:space="preserve"> мишљењ</w:t>
      </w:r>
      <w:r w:rsidRPr="004337B6">
        <w:rPr>
          <w:rFonts w:ascii="Times New Roman" w:eastAsia="Times New Roman" w:hAnsi="Times New Roman"/>
          <w:bCs/>
          <w:kern w:val="2"/>
          <w:sz w:val="24"/>
          <w:szCs w:val="24"/>
          <w:lang w:val="sr-Cyrl-BA" w:eastAsia="en-GB"/>
        </w:rPr>
        <w:t>а.</w:t>
      </w:r>
    </w:p>
    <w:p w14:paraId="493B2FDD" w14:textId="77777777" w:rsidR="00A365A9" w:rsidRDefault="00A365A9" w:rsidP="00A365A9">
      <w:pPr>
        <w:ind w:left="0"/>
        <w:jc w:val="left"/>
        <w:rPr>
          <w:rFonts w:ascii="Times New Roman" w:eastAsia="Times New Roman" w:hAnsi="Times New Roman"/>
          <w:bCs/>
          <w:kern w:val="2"/>
          <w:sz w:val="24"/>
          <w:szCs w:val="24"/>
          <w:lang w:val="sr-Latn-RS" w:eastAsia="en-GB"/>
        </w:rPr>
      </w:pPr>
    </w:p>
    <w:p w14:paraId="7EA7FA43" w14:textId="77777777" w:rsidR="00A365A9" w:rsidRPr="004A1F16" w:rsidRDefault="00A365A9" w:rsidP="00A365A9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bCs/>
          <w:sz w:val="24"/>
          <w:szCs w:val="24"/>
          <w:lang w:val="sr-Cyrl-BA"/>
        </w:rPr>
      </w:pPr>
      <w:r w:rsidRPr="004A1F16">
        <w:rPr>
          <w:rFonts w:ascii="Times New Roman" w:eastAsia="Lucida Sans Unicode" w:hAnsi="Times New Roman"/>
          <w:b/>
          <w:bCs/>
          <w:sz w:val="24"/>
          <w:szCs w:val="24"/>
          <w:lang w:val="sr-Cyrl-RS" w:bidi="en-US"/>
        </w:rPr>
        <w:t>Телеком Србија а.д.</w:t>
      </w:r>
    </w:p>
    <w:p w14:paraId="0D38D966" w14:textId="77777777" w:rsidR="00A365A9" w:rsidRPr="004A1F16" w:rsidRDefault="00A365A9" w:rsidP="00A365A9">
      <w:pPr>
        <w:ind w:left="0" w:firstLine="360"/>
        <w:rPr>
          <w:rFonts w:ascii="Times New Roman" w:eastAsia="Times New Roman" w:hAnsi="Times New Roman"/>
          <w:sz w:val="24"/>
          <w:szCs w:val="24"/>
          <w:u w:val="single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365A9" w:rsidRPr="004A1F16" w14:paraId="32E863B1" w14:textId="77777777" w:rsidTr="00D5546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D7AC" w14:textId="77777777" w:rsidR="00A365A9" w:rsidRPr="004A1F16" w:rsidRDefault="00A365A9" w:rsidP="00D5546E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>Мишљење, предлог, примедба, коментар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D579" w14:textId="77777777" w:rsidR="00A365A9" w:rsidRPr="004A1F16" w:rsidRDefault="00A365A9" w:rsidP="00D5546E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</w:pPr>
            <w:r w:rsidRPr="004A1F1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>Одговор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 xml:space="preserve"> Регулатора</w:t>
            </w:r>
          </w:p>
        </w:tc>
      </w:tr>
      <w:tr w:rsidR="00A365A9" w:rsidRPr="004A1F16" w14:paraId="38C7D61F" w14:textId="77777777" w:rsidTr="00D5546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43E3" w14:textId="77777777" w:rsidR="00A365A9" w:rsidRPr="00F46205" w:rsidRDefault="00A365A9" w:rsidP="00D5546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2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Коментар на члан 3. Нацрта правилника о изменама и допунама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  <w:p w14:paraId="344A12FD" w14:textId="77777777" w:rsidR="00A365A9" w:rsidRPr="00F46205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Имајући у виду члан 3. Нацрта правилника о изменама и допунама, мишљења смо да би додавање овог става представљало додатну обавезу за операторе у смислу да је потребно да се напред најави привремена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RBS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то најкасније десет дана пре почетка коришћења. У складу са напред наведеним, става смо да је рок незнатно смањен у односу на месечну евиденцију прописану чланом 28. став 1. Правилника о условима доделе и коришћења радиофреквенцисјког спектра, </w:t>
            </w:r>
            <w:r w:rsidRPr="00F462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те предлажемо брисање става 2 у члану 3. Нацрта правилника о изменама и допунама, односно да се иста не уводи.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3E3E" w14:textId="77777777" w:rsidR="00A365A9" w:rsidRPr="004A1F16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Примедба је размотрена и предлог се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не </w:t>
            </w: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прихвата.</w:t>
            </w:r>
          </w:p>
          <w:p w14:paraId="2EAB8B32" w14:textId="77777777" w:rsidR="00A365A9" w:rsidRPr="004A1F16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07B943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3479D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Одредбом члана 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Нацрта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en-GB"/>
              </w:rPr>
              <w:t>равилника о изменама и допунама Правилника</w:t>
            </w:r>
            <w:r w:rsidRPr="003479D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допуњен је члан 28. Правилника тако што је додат став 2. којим се прописује обавеза обавештавања Регулатора о радио-станицама које ће бити привремено активне, и то најкасније десет дана пре планираног датума почетка коришћења,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 са циљем да</w:t>
            </w:r>
            <w:r w:rsidRPr="003479D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се омогући Регулатору благовремена припрема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Pr="003479D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</w:t>
            </w:r>
            <w:r w:rsidRPr="003479D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коришћења радиофреквенцијског спектра.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15AE660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Након усвајања Правилника о изменама и допунама Правилника, привредни субјекти ће бити обавештени о начину извештавања Регулатора. </w:t>
            </w:r>
          </w:p>
          <w:p w14:paraId="4744E311" w14:textId="77777777" w:rsidR="00A365A9" w:rsidRPr="004A1F16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Процес евиденције је независтан и остаје неизмењен у контексту привремено активних радио-станица.</w:t>
            </w:r>
          </w:p>
        </w:tc>
      </w:tr>
      <w:tr w:rsidR="00A365A9" w:rsidRPr="004A1F16" w14:paraId="573C6E69" w14:textId="77777777" w:rsidTr="00D5546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4005" w14:textId="77777777" w:rsidR="00A365A9" w:rsidRPr="00F46205" w:rsidRDefault="00A365A9" w:rsidP="00D5546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2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Коментар на члан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462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 Нацрта правилника о изменама и допунама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  <w:p w14:paraId="519AFB13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Прилог 1 Нацрта Правилника о изменама и допунама који је наведен на сајту РАТЕЛ-а </w:t>
            </w:r>
            <w:hyperlink r:id="rId9" w:history="1">
              <w:r w:rsidRPr="00FA616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sr-Cyrl-RS" w:eastAsia="en-GB"/>
                </w:rPr>
                <w:t>https://www.ratel.rs/cyr/blog-posts-view-all/javne-konsultacije-o-nacrtu-pravilnika-o-izmenama-i-dopunama-pravilnika-o-uslovima-dodele-i-koriscenja-radiofrekvencijskog-spektra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односи се на Нацрт правилника о изменама и допунама и Образложење, а не на обрасце као што је наведено, те је очигледно у питању техничка грешка, тако да у том смислу предлажемо проверу Прилога 1.</w:t>
            </w:r>
          </w:p>
          <w:p w14:paraId="419EDA06" w14:textId="77777777" w:rsidR="00A365A9" w:rsidRPr="0064001C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У датом образложењу Прилог 1 Нацрта правилника о изменама и допунама наведено је да се образац ЗПД више не односи на привремене дозволе и додато је поље о броју и врсти радио-станица. Имајући у виду напред наведено, постављамо питање да ли ће уместо ЗПД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lastRenderedPageBreak/>
              <w:t>обрасца, који се укидају за привремене дозволе, бити дефинисан неки други начин за подношење захтева за издавање привремених дозвола и који, и молимо за појашњење.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F505" w14:textId="77777777" w:rsidR="00A365A9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Примедба је размотрена и предлог се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прихвата.</w:t>
            </w:r>
          </w:p>
          <w:p w14:paraId="6CAA7650" w14:textId="77777777" w:rsidR="00A365A9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</w:pPr>
          </w:p>
          <w:p w14:paraId="6289CF6D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Дана 11.7.2025. године исправљена је техничка грешка у линковању докумената на веб презентацији Регулатора у оквиру Јавних консултација о Нацрту правилника о изменама и допунама Правилника тако што је линк за Прилог 1 – Обрасци захтева измењен да упућује на обрасце захтева уместо на Нацрт овог акта. </w:t>
            </w:r>
          </w:p>
          <w:p w14:paraId="5BE765E2" w14:textId="77777777" w:rsidR="00A365A9" w:rsidRPr="00512E1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Захтев за издавање привремене дозволе за коришћење радиофреквенцијског спектра подносиће се на новом обрасцу ЗПДПР који је дат у Прилогу 1 Нацрта правилника о изменама и допунама Правилника.</w:t>
            </w:r>
          </w:p>
        </w:tc>
      </w:tr>
    </w:tbl>
    <w:p w14:paraId="0D849EB2" w14:textId="77777777" w:rsidR="00A365A9" w:rsidRDefault="00A365A9" w:rsidP="00A365A9">
      <w:pPr>
        <w:ind w:left="360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14:paraId="44648DC8" w14:textId="6241B333" w:rsidR="00A365A9" w:rsidRPr="00D71B6A" w:rsidRDefault="00A365A9" w:rsidP="00A365A9">
      <w:pPr>
        <w:ind w:left="360"/>
        <w:rPr>
          <w:rFonts w:ascii="Times New Roman" w:eastAsia="Times New Roman" w:hAnsi="Times New Roman"/>
          <w:b/>
          <w:bCs/>
          <w:sz w:val="24"/>
          <w:szCs w:val="24"/>
          <w:lang w:val="sr-Cyrl-B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val="sr-Cyrl-RS" w:bidi="en-US"/>
        </w:rPr>
        <w:t xml:space="preserve">2. </w:t>
      </w:r>
      <w:r w:rsidRPr="00D71B6A">
        <w:rPr>
          <w:rFonts w:ascii="Times New Roman" w:eastAsia="Lucida Sans Unicode" w:hAnsi="Times New Roman"/>
          <w:b/>
          <w:bCs/>
          <w:sz w:val="24"/>
          <w:szCs w:val="24"/>
          <w:lang w:val="sr-Latn-RS" w:bidi="en-US"/>
        </w:rPr>
        <w:t>CETIN d.o.o.</w:t>
      </w:r>
    </w:p>
    <w:p w14:paraId="60A0111D" w14:textId="77777777" w:rsidR="00A365A9" w:rsidRPr="004A1F16" w:rsidRDefault="00A365A9" w:rsidP="00A365A9">
      <w:pPr>
        <w:ind w:left="0" w:firstLine="360"/>
        <w:rPr>
          <w:rFonts w:ascii="Times New Roman" w:eastAsia="Times New Roman" w:hAnsi="Times New Roman"/>
          <w:sz w:val="24"/>
          <w:szCs w:val="24"/>
          <w:u w:val="single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365A9" w:rsidRPr="004A1F16" w14:paraId="27512C4A" w14:textId="77777777" w:rsidTr="00D5546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6F1B" w14:textId="77777777" w:rsidR="00A365A9" w:rsidRPr="004A1F16" w:rsidRDefault="00A365A9" w:rsidP="00D5546E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>Мишљење, предлог, примедба, коментар</w:t>
            </w:r>
            <w:r w:rsidRPr="004A1F1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>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5C64" w14:textId="77777777" w:rsidR="00A365A9" w:rsidRPr="00D71B6A" w:rsidRDefault="00A365A9" w:rsidP="00D5546E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Latn-RS"/>
              </w:rPr>
            </w:pPr>
            <w:r w:rsidRPr="004A1F1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>Одговор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sr-Cyrl-BA"/>
              </w:rPr>
              <w:t xml:space="preserve"> Регулатора</w:t>
            </w:r>
          </w:p>
        </w:tc>
      </w:tr>
      <w:tr w:rsidR="00A365A9" w14:paraId="5660571E" w14:textId="77777777" w:rsidTr="00D5546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8"/>
            </w:tblGrid>
            <w:tr w:rsidR="00A365A9" w:rsidRPr="007D40BC" w14:paraId="6C5CCF68" w14:textId="77777777" w:rsidTr="00D5546E">
              <w:tc>
                <w:tcPr>
                  <w:tcW w:w="4814" w:type="dxa"/>
                </w:tcPr>
                <w:p w14:paraId="701CE30E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</w:pPr>
                </w:p>
                <w:p w14:paraId="1F3F7790" w14:textId="77777777" w:rsidR="00A365A9" w:rsidRPr="007D40BC" w:rsidRDefault="00A365A9" w:rsidP="00D5546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</w:pPr>
                  <w:r w:rsidRPr="007D40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Latn-RS"/>
                    </w:rPr>
                    <w:t>У члану 26. став 6. Правилника брисати речи: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Latn-RS"/>
                    </w:rPr>
                    <w:t xml:space="preserve"> ,,</w:t>
                  </w:r>
                  <w:r w:rsidRPr="007D40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Latn-RS"/>
                    </w:rPr>
                    <w:t>са доказом о уплати таксе за евидентирање радио-станица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>”.</w:t>
                  </w:r>
                </w:p>
                <w:p w14:paraId="60DAA34E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>Образложење:</w:t>
                  </w:r>
                </w:p>
                <w:p w14:paraId="3EB7D8ED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>Поступак евидентирања радио-станица треба да буде ефикасан, што подразумева смањење броја корака и, где је могуће,  аутоматизацију процеса. Тиме би се поступак убрзао и смањило би се административно оптерећење, а евиденција би постала ажурна текућег месеца за претходни месец.</w:t>
                  </w:r>
                </w:p>
                <w:p w14:paraId="2E09E406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У циљу ефикасности поступка, предлажемо да се евидентирање радио-станица врши у року од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>десет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дана по поднетом захтеву, без условљавања корацима који се односе на плаћање таксе (издавање инструкције за плаћање и уплата). Није целисходно да поступак евидентирања застане због поступка плаћања таксе, јер се она може платити накнадно, као и наплатити принудним путем. Такође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>,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сматрамо да се и наплата таксе може аутоматизовати кроз систем, тако да овај поступак не представља административно оптерећење нити Регулатору, нити операторима.</w:t>
                  </w:r>
                </w:p>
                <w:p w14:paraId="4C7D918C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Будући да је евидентирање радио-станица декларативног карактера, јер не представља дозволу за коришћење </w:t>
                  </w:r>
                  <w:r w:rsidRPr="009935A9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val="sr-Cyrl-CS"/>
                    </w:rPr>
                    <w:t>радиофреквенцијског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 xml:space="preserve">  спектра, сматрамо да је ажурност евиденције ултимативни циљ њеног постојања и да подаци о евидентираним радио-станицама морају бити доступни у текућем месецу за претходни месец, с обзиром на то да 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lastRenderedPageBreak/>
                    <w:t>евиденцији приступају и други надлежни органи и заинтересоване стране.</w:t>
                  </w:r>
                </w:p>
                <w:p w14:paraId="084579C2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/>
                    </w:rPr>
                    <w:t>Као упоредни пример наводимо друге службене евиденције конститутивног карактера  (нпр. ЦЕОП) у којима управно поступање није условљено претходним плаћањем таксе, па сматрамо да ни Регулатор не може да условљава евидентирање радио-станица претходним достављањем доказа о плаћању таксе.</w:t>
                  </w:r>
                </w:p>
              </w:tc>
            </w:tr>
          </w:tbl>
          <w:p w14:paraId="3F8DB102" w14:textId="77777777" w:rsidR="00A365A9" w:rsidRDefault="00A365A9" w:rsidP="00D5546E"/>
          <w:p w14:paraId="39CC66AE" w14:textId="77777777" w:rsidR="00A365A9" w:rsidRPr="007D40BC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E997" w14:textId="77777777" w:rsidR="00A365A9" w:rsidRPr="004A1F16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Примедба је размотрена и предлог се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не </w:t>
            </w: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прихвата.</w:t>
            </w:r>
          </w:p>
          <w:p w14:paraId="1F8D3188" w14:textId="77777777" w:rsidR="00A365A9" w:rsidRPr="004A1F16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B1E2A3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Достављени предлог није предмет Нацрта правилника о изменама и допунама Правилника.</w:t>
            </w:r>
          </w:p>
          <w:p w14:paraId="71502B7A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Такса за евидентирање радио-станица у јавној мобилној електронској комуникационој мрежи је такса за пружање услуга из надлежности Регулатора прописана Законом,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ближе уређена одговарајућим подзаконским актом, а њена уплата претходи доношењу одлуке о евидентирању радио-станица, сагласно члану 26. став 6.  Правилника, чија измена није предмет овог нацрта.</w:t>
            </w:r>
          </w:p>
          <w:p w14:paraId="2BA0E43A" w14:textId="77777777" w:rsidR="00A365A9" w:rsidRPr="00B21FD0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Сматрајући ажурност евиденције као заједнички циљ, истичемо да има простора да се унапреди и убрза процес плаћања таксе и од стране Регулатора и од стране привредних субјеката.</w:t>
            </w:r>
          </w:p>
        </w:tc>
      </w:tr>
      <w:tr w:rsidR="00A365A9" w14:paraId="6EFE6DFA" w14:textId="77777777" w:rsidTr="00D5546E">
        <w:trPr>
          <w:trHeight w:val="656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8"/>
            </w:tblGrid>
            <w:tr w:rsidR="00A365A9" w:rsidRPr="007D40BC" w14:paraId="60FEB1FC" w14:textId="77777777" w:rsidTr="00D5546E">
              <w:trPr>
                <w:trHeight w:val="6778"/>
              </w:trPr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AEFC4" w14:textId="77777777" w:rsidR="00A365A9" w:rsidRPr="007D40BC" w:rsidRDefault="00A365A9" w:rsidP="00D5546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Latn-RS" w:eastAsia="en-GB"/>
                    </w:rPr>
                    <w:t xml:space="preserve">Брисати члан 27. Правилника </w:t>
                  </w:r>
                </w:p>
                <w:p w14:paraId="5DCD122F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>Образложење:</w:t>
                  </w:r>
                </w:p>
                <w:p w14:paraId="1F3F8911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Регулатор је у складу са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  <w:t>Законом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надлежан за контролу коришћења </w:t>
                  </w:r>
                  <w:r w:rsidRPr="009935A9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val="sr-Cyrl-CS"/>
                    </w:rPr>
                    <w:t>радиофреквенцијског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 спектра и у ту сврху је овлашћен да мери ниво електромагнетског поља за електронске комуникационе мреже, припадајућа средства, електронску комуникациону опрему, радио-опрему и терминалну опрему (члан 51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  <w:t>.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  <w:t>Закона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). </w:t>
                  </w:r>
                </w:p>
                <w:p w14:paraId="637A0B8B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С друге стране, Министарство заштите животне средине је надлежно за заштиту од прекомерних нејонизујућих зрачења и доноси решење о коришћењу извора од посебног интереса у складу са чланом 6. Закона о заштити од нејонизујућих зрачења. Ово министарство о издатим решењима о коришћењу извора од посебног интереса води и службену евиденцију, која је јавно доступна на сајту министарства. </w:t>
                  </w:r>
                </w:p>
                <w:p w14:paraId="5C19C071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Из овога произлази да Регулатор није надлежан за заштиту од нејонизујућих зрачења и да, када сматра за потребно у сврху контроле коришћења </w:t>
                  </w:r>
                  <w:r w:rsidRPr="009935A9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val="sr-Cyrl-CS"/>
                    </w:rPr>
                    <w:t>радиофреквенцијског</w:t>
                  </w:r>
                  <w:r w:rsidRPr="007D40BC" w:rsidDel="00963F20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>спектра, може извршити увид у службену евиденцију надлежног министарства. Наш предлог за брисање овог члана је заснован и на правилу Закона о општем управном поступку (члан 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  <w:t>.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и члан 103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  <w:t>.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ЗОУП) да поступајући орган по службеној дужности прибавља све чињенице и податке о којима се води службена евиденција, а да 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lastRenderedPageBreak/>
                    <w:t xml:space="preserve">од станке захтева само оне чињенице о којима се не води службена евиденција. </w:t>
                  </w:r>
                </w:p>
                <w:p w14:paraId="62F88CEF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>Осим наведеног, сматрамо да је захтевање достављања докумената из члана 27. Правилника нецелисходно, нарочито узимајући у обзир да досадашња мерења нејонизујућих зрачења на радио-станицама нису показивала прекорачења граничних вредности ни пре усаглашавање граница излагања нејонизујућим зрачењима са међународним препорукама. Након усаглашавања ових граница са ИЦНИРП, од јуна 2025.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en-GB"/>
                    </w:rPr>
                    <w:t xml:space="preserve"> године</w:t>
                  </w: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 xml:space="preserve"> вероватноћа прекорачења је многоструко нижа него раније. Осим тога, узимајући у обзир нове границе излагања и нову дефиницију извора од посебног интереса, много је ређи случај да надлежно министарство треба решењем да одлучује о коришћењу радио-станице као извора од посебног интереса.</w:t>
                  </w:r>
                </w:p>
                <w:p w14:paraId="74439D83" w14:textId="77777777" w:rsidR="00A365A9" w:rsidRPr="007D40BC" w:rsidRDefault="00A365A9" w:rsidP="00D5546E">
                  <w:pPr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</w:pPr>
                  <w:r w:rsidRPr="007D40BC">
                    <w:rPr>
                      <w:rFonts w:ascii="Times New Roman" w:eastAsia="Times New Roman" w:hAnsi="Times New Roman"/>
                      <w:sz w:val="24"/>
                      <w:szCs w:val="24"/>
                      <w:lang w:val="sr-Latn-RS" w:eastAsia="en-GB"/>
                    </w:rPr>
                    <w:t>Коначно, сматрамо да је потребно поступак евидентирања учинити ефикаснијим, те је неосновано захтевање докумената непотребно административно оптерећење и операторима и Регулатору.</w:t>
                  </w:r>
                </w:p>
              </w:tc>
            </w:tr>
          </w:tbl>
          <w:p w14:paraId="25FEF314" w14:textId="77777777" w:rsidR="00A365A9" w:rsidRDefault="00A365A9" w:rsidP="00D5546E"/>
          <w:p w14:paraId="40C01AA3" w14:textId="77777777" w:rsidR="00A365A9" w:rsidRPr="007D40BC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A6EC" w14:textId="77777777" w:rsidR="00A365A9" w:rsidRPr="004A1F16" w:rsidRDefault="00A365A9" w:rsidP="00D5546E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Примедба је размотрена и предлог се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не </w:t>
            </w:r>
            <w:r w:rsidRPr="004A1F1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прихвата.</w:t>
            </w:r>
          </w:p>
          <w:p w14:paraId="0D727F0F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</w:p>
          <w:p w14:paraId="7C811552" w14:textId="77777777" w:rsidR="00A365A9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Достављени предлог није предмет Нацрта правилника о изменама и допунама Правилника.</w:t>
            </w:r>
          </w:p>
          <w:p w14:paraId="7F1BF7CD" w14:textId="77777777" w:rsidR="00A365A9" w:rsidRPr="004A1F16" w:rsidRDefault="00A365A9" w:rsidP="00D5546E">
            <w:pPr>
              <w:ind w:left="0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У складу са чланом 98. Закона, </w:t>
            </w:r>
            <w:r w:rsidRPr="00741B67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Регулатор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подстиче усклађивање коришћења радиофреквенцијског спектра за електронске комуникационе мреже и услуге, између осталог, 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дослед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ним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и предвидив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им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начин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ом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одобрава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ња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коришћењ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а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радиофреквенцијског спектра у погледу заштите здравља људи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од деловања нејонизујућег зрачења, а које је уређено посебним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</w:t>
            </w:r>
            <w:r w:rsidRPr="009C3A6E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прописима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.</w:t>
            </w:r>
          </w:p>
        </w:tc>
      </w:tr>
    </w:tbl>
    <w:p w14:paraId="31CE0F6D" w14:textId="77777777" w:rsidR="00A365A9" w:rsidRPr="00752016" w:rsidRDefault="00A365A9" w:rsidP="00A365A9"/>
    <w:p w14:paraId="493288F6" w14:textId="77777777" w:rsidR="00A365A9" w:rsidRPr="00FD63A8" w:rsidRDefault="00A365A9" w:rsidP="00A365A9">
      <w:pPr>
        <w:ind w:left="0"/>
        <w:rPr>
          <w:szCs w:val="24"/>
        </w:rPr>
      </w:pPr>
    </w:p>
    <w:p w14:paraId="32BD2055" w14:textId="77777777" w:rsidR="00A365A9" w:rsidRPr="00FD63A8" w:rsidRDefault="00A365A9" w:rsidP="00A365A9">
      <w:pPr>
        <w:ind w:left="0"/>
        <w:rPr>
          <w:szCs w:val="24"/>
        </w:rPr>
      </w:pPr>
    </w:p>
    <w:p w14:paraId="5BFD9BF9" w14:textId="77777777" w:rsidR="000F7523" w:rsidRPr="00A365A9" w:rsidRDefault="000F7523" w:rsidP="00A365A9"/>
    <w:sectPr w:rsidR="000F7523" w:rsidRPr="00A365A9" w:rsidSect="00EC2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2F5D" w14:textId="77777777" w:rsidR="00F74682" w:rsidRDefault="00F74682" w:rsidP="00973B9E">
      <w:r>
        <w:separator/>
      </w:r>
    </w:p>
  </w:endnote>
  <w:endnote w:type="continuationSeparator" w:id="0">
    <w:p w14:paraId="0D3F703E" w14:textId="77777777" w:rsidR="00F74682" w:rsidRDefault="00F74682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AC98" w14:textId="77777777" w:rsidR="00B12966" w:rsidRDefault="00B12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0A6A" w14:textId="77777777" w:rsidR="003549F2" w:rsidRDefault="003549F2" w:rsidP="003549F2">
    <w:pPr>
      <w:pStyle w:val="Footer"/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Регулаторно тело за електронске комуникације и поштанске услуге</w:t>
    </w:r>
    <w:r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4087B44" w14:textId="77777777" w:rsidR="003549F2" w:rsidRDefault="003549F2" w:rsidP="003549F2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</w:rPr>
      <w:t>Палмотићева 2, 11103 Београд, ПАК: 106306, Република Србија</w:t>
    </w:r>
  </w:p>
  <w:p w14:paraId="046DDC17" w14:textId="77777777" w:rsidR="003549F2" w:rsidRDefault="003549F2" w:rsidP="003549F2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BA"/>
      </w:rPr>
      <w:t>Информативни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 центар: 0800/800-999</w:t>
    </w:r>
    <w:r>
      <w:rPr>
        <w:rFonts w:ascii="Times New Roman" w:hAnsi="Times New Roman"/>
        <w:color w:val="17365D"/>
        <w:sz w:val="20"/>
        <w:szCs w:val="20"/>
      </w:rPr>
      <w:t>, факс: 011 3232 537</w:t>
    </w:r>
    <w:r w:rsidR="005B6D2F">
      <w:rPr>
        <w:rFonts w:ascii="Times New Roman" w:hAnsi="Times New Roman"/>
        <w:color w:val="17365D"/>
        <w:sz w:val="20"/>
        <w:szCs w:val="20"/>
      </w:rPr>
      <w:t xml:space="preserve">                                                       </w:t>
    </w:r>
    <w:r w:rsidR="000F7523">
      <w:rPr>
        <w:rFonts w:ascii="Times New Roman" w:hAnsi="Times New Roman"/>
        <w:color w:val="17365D"/>
        <w:sz w:val="20"/>
        <w:szCs w:val="20"/>
      </w:rPr>
      <w:t xml:space="preserve">                          </w:t>
    </w:r>
    <w:r w:rsidR="005B6D2F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3F5CEC">
      <w:rPr>
        <w:rFonts w:ascii="Times New Roman" w:hAnsi="Times New Roman" w:cs="Tahoma"/>
        <w:sz w:val="20"/>
        <w:szCs w:val="20"/>
      </w:rPr>
      <w:fldChar w:fldCharType="begin"/>
    </w:r>
    <w:r w:rsidR="005B6D2F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5B6D2F">
      <w:rPr>
        <w:rFonts w:ascii="Times New Roman" w:hAnsi="Times New Roman" w:cs="Tahoma"/>
        <w:sz w:val="20"/>
        <w:szCs w:val="20"/>
      </w:rPr>
      <w:instrText>PAGE</w:instrText>
    </w:r>
    <w:r w:rsidR="005B6D2F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3F5CEC">
      <w:rPr>
        <w:rFonts w:ascii="Times New Roman" w:hAnsi="Times New Roman" w:cs="Tahoma"/>
        <w:sz w:val="20"/>
        <w:szCs w:val="20"/>
      </w:rPr>
      <w:fldChar w:fldCharType="separate"/>
    </w:r>
    <w:r w:rsidR="000F7523">
      <w:rPr>
        <w:rFonts w:ascii="Times New Roman" w:hAnsi="Times New Roman" w:cs="Tahoma"/>
        <w:noProof/>
        <w:sz w:val="20"/>
        <w:szCs w:val="20"/>
      </w:rPr>
      <w:t>2</w:t>
    </w:r>
    <w:r w:rsidR="003F5CEC">
      <w:rPr>
        <w:rFonts w:ascii="Times New Roman" w:hAnsi="Times New Roman" w:cs="Tahoma"/>
        <w:sz w:val="20"/>
        <w:szCs w:val="20"/>
      </w:rPr>
      <w:fldChar w:fldCharType="end"/>
    </w:r>
    <w:r w:rsidR="005B6D2F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3F5CEC">
      <w:rPr>
        <w:rFonts w:ascii="Times New Roman" w:hAnsi="Times New Roman" w:cs="Tahoma"/>
        <w:sz w:val="20"/>
        <w:szCs w:val="20"/>
      </w:rPr>
      <w:fldChar w:fldCharType="begin"/>
    </w:r>
    <w:r w:rsidR="005B6D2F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5B6D2F">
      <w:rPr>
        <w:rFonts w:ascii="Times New Roman" w:hAnsi="Times New Roman" w:cs="Tahoma"/>
        <w:sz w:val="20"/>
        <w:szCs w:val="20"/>
      </w:rPr>
      <w:instrText>NUMPAGES</w:instrText>
    </w:r>
    <w:r w:rsidR="005B6D2F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3F5CEC">
      <w:rPr>
        <w:rFonts w:ascii="Times New Roman" w:hAnsi="Times New Roman" w:cs="Tahoma"/>
        <w:sz w:val="20"/>
        <w:szCs w:val="20"/>
      </w:rPr>
      <w:fldChar w:fldCharType="separate"/>
    </w:r>
    <w:r w:rsidR="000F7523">
      <w:rPr>
        <w:rFonts w:ascii="Times New Roman" w:hAnsi="Times New Roman" w:cs="Tahoma"/>
        <w:noProof/>
        <w:sz w:val="20"/>
        <w:szCs w:val="20"/>
      </w:rPr>
      <w:t>2</w:t>
    </w:r>
    <w:r w:rsidR="003F5CEC">
      <w:rPr>
        <w:rFonts w:ascii="Times New Roman" w:hAnsi="Times New Roman" w:cs="Tahoma"/>
        <w:sz w:val="20"/>
        <w:szCs w:val="20"/>
      </w:rPr>
      <w:fldChar w:fldCharType="end"/>
    </w:r>
  </w:p>
  <w:p w14:paraId="05A0FF8D" w14:textId="77777777" w:rsidR="00973B9E" w:rsidRPr="003549F2" w:rsidRDefault="003549F2" w:rsidP="003549F2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0035" w14:textId="77777777" w:rsidR="00F464A5" w:rsidRDefault="00F464A5" w:rsidP="00F464A5">
    <w:pPr>
      <w:pStyle w:val="Footer"/>
      <w:rPr>
        <w:rFonts w:ascii="Times New Roman" w:hAnsi="Times New Roman"/>
        <w:color w:val="17365D"/>
        <w:sz w:val="20"/>
        <w:szCs w:val="20"/>
      </w:rPr>
    </w:pPr>
  </w:p>
  <w:p w14:paraId="759CA0FB" w14:textId="77777777" w:rsidR="00F464A5" w:rsidRDefault="00F464A5" w:rsidP="00F464A5">
    <w:pPr>
      <w:pStyle w:val="Footer"/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Регулаторно тело за електронске комуникације и поштанске услуге</w:t>
    </w:r>
    <w:r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14D8B213" w14:textId="77777777" w:rsidR="00F464A5" w:rsidRDefault="00F464A5" w:rsidP="00F464A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</w:rPr>
      <w:t>Палмотићева 2, 11103 Београд, ПАК: 106306, Република Србија</w:t>
    </w:r>
  </w:p>
  <w:p w14:paraId="5834442A" w14:textId="77777777" w:rsidR="00F464A5" w:rsidRDefault="00F464A5" w:rsidP="00F464A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BA"/>
      </w:rPr>
      <w:t>Информативни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 центар: 0800/800-999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827E11D" w14:textId="77777777" w:rsidR="006E2A75" w:rsidRPr="00250524" w:rsidRDefault="00F464A5" w:rsidP="00250524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8223" w14:textId="77777777" w:rsidR="00F74682" w:rsidRDefault="00F74682" w:rsidP="00973B9E">
      <w:r>
        <w:separator/>
      </w:r>
    </w:p>
  </w:footnote>
  <w:footnote w:type="continuationSeparator" w:id="0">
    <w:p w14:paraId="76915D82" w14:textId="77777777" w:rsidR="00F74682" w:rsidRDefault="00F74682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81CD" w14:textId="77777777" w:rsidR="00B12966" w:rsidRDefault="00B12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811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2D34A8E" w14:textId="77777777" w:rsidTr="00F528FD">
      <w:trPr>
        <w:trHeight w:val="2147"/>
      </w:trPr>
      <w:tc>
        <w:tcPr>
          <w:tcW w:w="5979" w:type="dxa"/>
        </w:tcPr>
        <w:p w14:paraId="0743E0CB" w14:textId="77777777" w:rsidR="00B213ED" w:rsidRPr="00B213ED" w:rsidRDefault="00DD74EF" w:rsidP="00B213ED">
          <w:pPr>
            <w:tabs>
              <w:tab w:val="center" w:pos="4703"/>
              <w:tab w:val="right" w:pos="9406"/>
            </w:tabs>
            <w:ind w:left="0"/>
          </w:pPr>
          <w:r w:rsidRPr="00DD74EF">
            <w:rPr>
              <w:noProof/>
            </w:rPr>
            <w:drawing>
              <wp:inline distT="0" distB="0" distL="0" distR="0" wp14:anchorId="7D1086C8" wp14:editId="7E0F9F96">
                <wp:extent cx="2279825" cy="1140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450" cy="116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2138B49" w14:textId="24A8828D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2420F4">
            <w:rPr>
              <w:noProof/>
            </w:rPr>
            <w:drawing>
              <wp:inline distT="0" distB="0" distL="0" distR="0" wp14:anchorId="6FA52121" wp14:editId="487DFF85">
                <wp:extent cx="1295403" cy="493777"/>
                <wp:effectExtent l="0" t="0" r="0" b="0"/>
                <wp:docPr id="12241282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412828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6DD83A" w14:textId="24C06EFB" w:rsidR="00B12966" w:rsidRDefault="00B12966" w:rsidP="00B213ED">
    <w:pPr>
      <w:ind w:left="0"/>
      <w:rPr>
        <w:rFonts w:ascii="Times New Roman" w:hAnsi="Times New Roman"/>
        <w:sz w:val="24"/>
        <w:szCs w:val="24"/>
        <w:lang w:val="sr-Cyrl-RS"/>
      </w:rPr>
    </w:pPr>
    <w:r>
      <w:rPr>
        <w:rFonts w:ascii="Times New Roman" w:hAnsi="Times New Roman"/>
        <w:sz w:val="24"/>
        <w:szCs w:val="24"/>
        <w:lang w:val="sr-Cyrl-RS"/>
      </w:rPr>
      <w:t>Број:</w:t>
    </w:r>
    <w:r w:rsidR="002420F4">
      <w:rPr>
        <w:rFonts w:ascii="Times New Roman" w:hAnsi="Times New Roman"/>
        <w:sz w:val="24"/>
        <w:szCs w:val="24"/>
        <w:lang w:val="sr-Cyrl-RS"/>
      </w:rPr>
      <w:t>003173901 2025 59011 001 000 012 005 04 005</w:t>
    </w:r>
  </w:p>
  <w:p w14:paraId="0EE01E07" w14:textId="056E489D" w:rsidR="00B213ED" w:rsidRPr="00B213ED" w:rsidRDefault="00B12966" w:rsidP="00B213ED">
    <w:pPr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sr-Cyrl-RS"/>
      </w:rPr>
      <w:t>Деловодни б</w:t>
    </w:r>
    <w:r w:rsidR="00B213ED" w:rsidRPr="00B213ED">
      <w:rPr>
        <w:rFonts w:ascii="Times New Roman" w:hAnsi="Times New Roman"/>
        <w:sz w:val="24"/>
        <w:szCs w:val="24"/>
        <w:lang w:val="sr-Cyrl-CS"/>
      </w:rPr>
      <w:t>рој</w:t>
    </w:r>
    <w:r w:rsidR="00B213ED" w:rsidRPr="00B213ED">
      <w:rPr>
        <w:rFonts w:ascii="Times New Roman" w:hAnsi="Times New Roman"/>
        <w:sz w:val="24"/>
        <w:szCs w:val="24"/>
      </w:rPr>
      <w:t xml:space="preserve">: </w:t>
    </w:r>
    <w:r w:rsidR="002420F4">
      <w:rPr>
        <w:rFonts w:ascii="Times New Roman" w:hAnsi="Times New Roman"/>
        <w:sz w:val="24"/>
        <w:szCs w:val="24"/>
      </w:rPr>
      <w:t>1-01-3400-5/25-4</w:t>
    </w:r>
  </w:p>
  <w:p w14:paraId="46ECB05C" w14:textId="0412448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2420F4">
      <w:rPr>
        <w:rFonts w:ascii="Times New Roman" w:hAnsi="Times New Roman"/>
        <w:sz w:val="24"/>
        <w:szCs w:val="24"/>
      </w:rPr>
      <w:t>07.08.2025.</w:t>
    </w:r>
  </w:p>
  <w:p w14:paraId="01368DA5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24E4ACB7" w14:textId="77777777"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83E"/>
    <w:multiLevelType w:val="hybridMultilevel"/>
    <w:tmpl w:val="AB7A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E2268"/>
    <w:multiLevelType w:val="hybridMultilevel"/>
    <w:tmpl w:val="281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5C28"/>
    <w:multiLevelType w:val="hybridMultilevel"/>
    <w:tmpl w:val="84CABE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C1EA3"/>
    <w:multiLevelType w:val="hybridMultilevel"/>
    <w:tmpl w:val="486C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7433F"/>
    <w:multiLevelType w:val="hybridMultilevel"/>
    <w:tmpl w:val="486CE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5070">
    <w:abstractNumId w:val="3"/>
  </w:num>
  <w:num w:numId="2" w16cid:durableId="281810185">
    <w:abstractNumId w:val="4"/>
  </w:num>
  <w:num w:numId="3" w16cid:durableId="1642929947">
    <w:abstractNumId w:val="1"/>
  </w:num>
  <w:num w:numId="4" w16cid:durableId="377899922">
    <w:abstractNumId w:val="0"/>
  </w:num>
  <w:num w:numId="5" w16cid:durableId="380447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0F7523"/>
    <w:rsid w:val="0010130D"/>
    <w:rsid w:val="001346E4"/>
    <w:rsid w:val="00144E67"/>
    <w:rsid w:val="00164493"/>
    <w:rsid w:val="001879A8"/>
    <w:rsid w:val="00191369"/>
    <w:rsid w:val="001A29A0"/>
    <w:rsid w:val="001D0CD4"/>
    <w:rsid w:val="001E7184"/>
    <w:rsid w:val="00203250"/>
    <w:rsid w:val="00227610"/>
    <w:rsid w:val="002420F4"/>
    <w:rsid w:val="00250524"/>
    <w:rsid w:val="002820ED"/>
    <w:rsid w:val="00284C62"/>
    <w:rsid w:val="00297B09"/>
    <w:rsid w:val="002A08ED"/>
    <w:rsid w:val="002B5660"/>
    <w:rsid w:val="003104EA"/>
    <w:rsid w:val="00313C8C"/>
    <w:rsid w:val="00321692"/>
    <w:rsid w:val="00321AB0"/>
    <w:rsid w:val="0034208C"/>
    <w:rsid w:val="003479D6"/>
    <w:rsid w:val="003549F2"/>
    <w:rsid w:val="00356A68"/>
    <w:rsid w:val="003742D9"/>
    <w:rsid w:val="003B00FE"/>
    <w:rsid w:val="003E362A"/>
    <w:rsid w:val="003F445B"/>
    <w:rsid w:val="003F5CEC"/>
    <w:rsid w:val="004135BB"/>
    <w:rsid w:val="004336C5"/>
    <w:rsid w:val="004375A0"/>
    <w:rsid w:val="00453007"/>
    <w:rsid w:val="00455588"/>
    <w:rsid w:val="00457BC4"/>
    <w:rsid w:val="00462D6D"/>
    <w:rsid w:val="00464359"/>
    <w:rsid w:val="00464EEC"/>
    <w:rsid w:val="00483D4C"/>
    <w:rsid w:val="00490D75"/>
    <w:rsid w:val="004A1004"/>
    <w:rsid w:val="004A1F16"/>
    <w:rsid w:val="004E136D"/>
    <w:rsid w:val="004E5104"/>
    <w:rsid w:val="00512E19"/>
    <w:rsid w:val="005176EB"/>
    <w:rsid w:val="00522C71"/>
    <w:rsid w:val="005270D5"/>
    <w:rsid w:val="0053254B"/>
    <w:rsid w:val="00542A19"/>
    <w:rsid w:val="00547162"/>
    <w:rsid w:val="0056545A"/>
    <w:rsid w:val="005679C2"/>
    <w:rsid w:val="00572DF8"/>
    <w:rsid w:val="00573E1A"/>
    <w:rsid w:val="0059021E"/>
    <w:rsid w:val="00596185"/>
    <w:rsid w:val="005A7DCE"/>
    <w:rsid w:val="005B17E5"/>
    <w:rsid w:val="005B67BB"/>
    <w:rsid w:val="005B6D2F"/>
    <w:rsid w:val="005C50AA"/>
    <w:rsid w:val="005E08D9"/>
    <w:rsid w:val="005E2882"/>
    <w:rsid w:val="005E7C76"/>
    <w:rsid w:val="00604DA8"/>
    <w:rsid w:val="0061351E"/>
    <w:rsid w:val="00620C61"/>
    <w:rsid w:val="00625862"/>
    <w:rsid w:val="0064001C"/>
    <w:rsid w:val="00644F51"/>
    <w:rsid w:val="006962BB"/>
    <w:rsid w:val="006A1AC0"/>
    <w:rsid w:val="006A4AAE"/>
    <w:rsid w:val="006A77F0"/>
    <w:rsid w:val="006E2A75"/>
    <w:rsid w:val="006E5B86"/>
    <w:rsid w:val="0070082D"/>
    <w:rsid w:val="00731559"/>
    <w:rsid w:val="00741AB7"/>
    <w:rsid w:val="00741B67"/>
    <w:rsid w:val="00754B64"/>
    <w:rsid w:val="00782D7A"/>
    <w:rsid w:val="00790612"/>
    <w:rsid w:val="007A156D"/>
    <w:rsid w:val="007B7FD1"/>
    <w:rsid w:val="007C04AC"/>
    <w:rsid w:val="007C697F"/>
    <w:rsid w:val="007D40BC"/>
    <w:rsid w:val="007E1E98"/>
    <w:rsid w:val="007E1F63"/>
    <w:rsid w:val="007F7D47"/>
    <w:rsid w:val="00804887"/>
    <w:rsid w:val="0081588F"/>
    <w:rsid w:val="008538FA"/>
    <w:rsid w:val="00875FD2"/>
    <w:rsid w:val="008810F3"/>
    <w:rsid w:val="00895C3A"/>
    <w:rsid w:val="008A1EA9"/>
    <w:rsid w:val="008B4F08"/>
    <w:rsid w:val="008E439E"/>
    <w:rsid w:val="009178B0"/>
    <w:rsid w:val="0092350B"/>
    <w:rsid w:val="00973B9E"/>
    <w:rsid w:val="00981509"/>
    <w:rsid w:val="009935A9"/>
    <w:rsid w:val="00995E6C"/>
    <w:rsid w:val="00997905"/>
    <w:rsid w:val="009B37B4"/>
    <w:rsid w:val="009B65E5"/>
    <w:rsid w:val="009B7228"/>
    <w:rsid w:val="009C27FB"/>
    <w:rsid w:val="009C3327"/>
    <w:rsid w:val="009C3A6E"/>
    <w:rsid w:val="009D66BC"/>
    <w:rsid w:val="009E0A3E"/>
    <w:rsid w:val="009E3E1F"/>
    <w:rsid w:val="009F2BFF"/>
    <w:rsid w:val="00A11BE4"/>
    <w:rsid w:val="00A133C9"/>
    <w:rsid w:val="00A365A9"/>
    <w:rsid w:val="00A60DE7"/>
    <w:rsid w:val="00A7598A"/>
    <w:rsid w:val="00AA3D79"/>
    <w:rsid w:val="00AD508D"/>
    <w:rsid w:val="00AE6E10"/>
    <w:rsid w:val="00AF2931"/>
    <w:rsid w:val="00B075B3"/>
    <w:rsid w:val="00B12966"/>
    <w:rsid w:val="00B213ED"/>
    <w:rsid w:val="00B21FD0"/>
    <w:rsid w:val="00B2339E"/>
    <w:rsid w:val="00B64A35"/>
    <w:rsid w:val="00B74502"/>
    <w:rsid w:val="00B876AB"/>
    <w:rsid w:val="00BA1082"/>
    <w:rsid w:val="00BA477A"/>
    <w:rsid w:val="00BB21C5"/>
    <w:rsid w:val="00BC6B28"/>
    <w:rsid w:val="00BD3CDD"/>
    <w:rsid w:val="00BD415C"/>
    <w:rsid w:val="00BD619B"/>
    <w:rsid w:val="00BE5FEF"/>
    <w:rsid w:val="00BE73B5"/>
    <w:rsid w:val="00C04A2F"/>
    <w:rsid w:val="00C06CEA"/>
    <w:rsid w:val="00C132A1"/>
    <w:rsid w:val="00C22937"/>
    <w:rsid w:val="00C2709B"/>
    <w:rsid w:val="00C347C2"/>
    <w:rsid w:val="00C548C8"/>
    <w:rsid w:val="00C65A64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76C49"/>
    <w:rsid w:val="00D9459E"/>
    <w:rsid w:val="00DA4E43"/>
    <w:rsid w:val="00DB0A60"/>
    <w:rsid w:val="00DD07F5"/>
    <w:rsid w:val="00DD704A"/>
    <w:rsid w:val="00DD74EF"/>
    <w:rsid w:val="00DE0EF1"/>
    <w:rsid w:val="00DE620F"/>
    <w:rsid w:val="00DF0FB0"/>
    <w:rsid w:val="00DF5102"/>
    <w:rsid w:val="00E0137F"/>
    <w:rsid w:val="00E124ED"/>
    <w:rsid w:val="00E3670D"/>
    <w:rsid w:val="00E73C3C"/>
    <w:rsid w:val="00E84E0B"/>
    <w:rsid w:val="00E85953"/>
    <w:rsid w:val="00E90CF2"/>
    <w:rsid w:val="00EC26CC"/>
    <w:rsid w:val="00EE5E2F"/>
    <w:rsid w:val="00F01007"/>
    <w:rsid w:val="00F20696"/>
    <w:rsid w:val="00F35D37"/>
    <w:rsid w:val="00F46205"/>
    <w:rsid w:val="00F464A5"/>
    <w:rsid w:val="00F528F6"/>
    <w:rsid w:val="00F528FD"/>
    <w:rsid w:val="00F71E59"/>
    <w:rsid w:val="00F74682"/>
    <w:rsid w:val="00F74C8E"/>
    <w:rsid w:val="00F75016"/>
    <w:rsid w:val="00F76F58"/>
    <w:rsid w:val="00F9316A"/>
    <w:rsid w:val="00F934C5"/>
    <w:rsid w:val="00FB38D3"/>
    <w:rsid w:val="00FC1389"/>
    <w:rsid w:val="00FC3DBD"/>
    <w:rsid w:val="00FD1B93"/>
    <w:rsid w:val="00FD466D"/>
    <w:rsid w:val="00FD63A8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A9C07"/>
  <w15:docId w15:val="{56D61FAD-2E80-417C-A274-7C310B1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el.rs/cyr/blog-posts-view-all/javne-konsultacije-o-nacrtu-pravilnika-o-izmenama-i-dopunama-pravilnika-o-uslovima-dodele-i-koriscenja-radiofrekvencijskog-spektr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atel.rs/cyr/blog-posts-view-all/javne-konsultacije-o-nacrtu-pravilnika-o-izmenama-i-dopunama-pravilnika-o-uslovima-dodele-i-koriscenja-radiofrekvencijskog-spektr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keywords>Internal/General/</cp:keywords>
  <cp:lastModifiedBy>Dijana Krsmanovic</cp:lastModifiedBy>
  <cp:revision>36</cp:revision>
  <cp:lastPrinted>2010-02-04T12:06:00Z</cp:lastPrinted>
  <dcterms:created xsi:type="dcterms:W3CDTF">2019-11-21T09:27:00Z</dcterms:created>
  <dcterms:modified xsi:type="dcterms:W3CDTF">2025-07-23T08:39:00Z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ddd61754-3687-49bc-bb9f-73278b8b1974</vt:lpwstr>
  </property>
  <property fmtid="{D5CDD505-2E9C-101B-9397-08002B2CF9AE}" pid="3" name="AssecoSEEScope">
    <vt:lpwstr>Internal</vt:lpwstr>
  </property>
  <property fmtid="{D5CDD505-2E9C-101B-9397-08002B2CF9AE}" pid="4" name="AssecoSEEClassificationI">
    <vt:lpwstr>General</vt:lpwstr>
  </property>
</Properties>
</file>